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917E8" w14:textId="77777777" w:rsidR="007A1807" w:rsidRDefault="00AE0105">
      <w:r w:rsidRPr="00AE0105">
        <w:rPr>
          <w:b/>
          <w:i/>
        </w:rPr>
        <w:t>Déclaration de Stratégie Erasmus Enseignement Supérieur </w:t>
      </w:r>
    </w:p>
    <w:p w14:paraId="0BE6EF88" w14:textId="77777777" w:rsidR="00AE0105" w:rsidRDefault="00AE0105"/>
    <w:p w14:paraId="357FFC7D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  <w:r w:rsidRPr="00AE0105">
        <w:rPr>
          <w:rFonts w:cs="põ$\ˇ"/>
          <w:color w:val="000000"/>
          <w:sz w:val="22"/>
          <w:szCs w:val="22"/>
        </w:rPr>
        <w:t>Le pôle d’enseignement agricole public de Chaumont est un établisseme</w:t>
      </w:r>
      <w:r w:rsidRPr="00AE0105">
        <w:rPr>
          <w:rFonts w:cs="põ$\ˇ"/>
          <w:color w:val="000000"/>
          <w:sz w:val="22"/>
          <w:szCs w:val="22"/>
        </w:rPr>
        <w:t xml:space="preserve">nt de formation professionnelle </w:t>
      </w:r>
      <w:r w:rsidRPr="00AE0105">
        <w:rPr>
          <w:rFonts w:cs="põ$\ˇ"/>
          <w:color w:val="000000"/>
          <w:sz w:val="22"/>
          <w:szCs w:val="22"/>
        </w:rPr>
        <w:t>et technologique agricole. En plus de la mission de formation, notre établissement assure les missions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d’insertion, d’animation du territoire, d’expérimentation et de coopération internationale. L’établissement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est titulaire d’une charte ERASMUS 2014-2020. Depuis plusieurs années, le volume global de mobilité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destinée au supérieur est faible : en moyenne un étudiant par année. Par contre, sur la période 2018-2020, les mobilités professionnelles à destination des élèves et apprentis de niveau 4 se sont fortement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développées en Irlande, Belgique, Espagne, Pologne, Allemagne et République Thèque. Les relations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avec les organismes de recherche agricole et les entreprises du secteur de la production animale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permettent d’envisager une stratégie internationale plus ambitieuse pour les apprenants de niveau 3 et 4.</w:t>
      </w:r>
    </w:p>
    <w:p w14:paraId="0A061736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</w:p>
    <w:p w14:paraId="26B53741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  <w:r w:rsidRPr="00AE0105">
        <w:rPr>
          <w:rFonts w:cs="põ$\ˇ"/>
          <w:color w:val="000000"/>
          <w:sz w:val="22"/>
          <w:szCs w:val="22"/>
        </w:rPr>
        <w:t>Cette stratégie fait d’ailleurs partie du deuxième axe du projet d’établissement intitulé «100 % citoyen »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voté en Conseil d’Administration le 24 juin 2019 (Annexe 1). Elle vise à conforter l’attitude citoyenne,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favoriser l’ouverture sociale et culturelle et à favoriser l’inclusion des apprenants en situation de handicap.</w:t>
      </w:r>
    </w:p>
    <w:p w14:paraId="11157AC7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</w:p>
    <w:p w14:paraId="0013E6AF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  <w:r w:rsidRPr="00AE0105">
        <w:rPr>
          <w:rFonts w:cs="põ$\ˇ"/>
          <w:color w:val="000000"/>
          <w:sz w:val="22"/>
          <w:szCs w:val="22"/>
        </w:rPr>
        <w:t>Chaque année, 45 à 50 étudiants en brevet de technicien supérieur ag</w:t>
      </w:r>
      <w:r w:rsidRPr="00AE0105">
        <w:rPr>
          <w:rFonts w:cs="põ$\ˇ"/>
          <w:color w:val="000000"/>
          <w:sz w:val="22"/>
          <w:szCs w:val="22"/>
        </w:rPr>
        <w:t xml:space="preserve">ricole sont inscrits dans cette </w:t>
      </w:r>
      <w:r w:rsidRPr="00AE0105">
        <w:rPr>
          <w:rFonts w:cs="põ$\ˇ"/>
          <w:color w:val="000000"/>
          <w:sz w:val="22"/>
          <w:szCs w:val="22"/>
        </w:rPr>
        <w:t>formation d’une durée de deux ans. Ces derniers deviendront des techniciens supérieurs spécialistes des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productions animales et travailleront dans des organisations professionnelles agricoles. Une dizaine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d’enseignants interviennent dans la formation de techniciens supérieurs. La moitié de l’équipe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enseignante regroupe des enseignants techniques spécialistes des productions animales et végétales, de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l’économie agricole, du machinisme agricole. L’autre moitié de l’équipe est composée d’enseignants de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matières générales, français, langues étrangères, économie, éduca</w:t>
      </w:r>
      <w:r w:rsidRPr="00AE0105">
        <w:rPr>
          <w:rFonts w:cs="põ$\ˇ"/>
          <w:color w:val="000000"/>
          <w:sz w:val="22"/>
          <w:szCs w:val="22"/>
        </w:rPr>
        <w:t xml:space="preserve">tion socio-culturelle, sciences </w:t>
      </w:r>
      <w:r w:rsidRPr="00AE0105">
        <w:rPr>
          <w:rFonts w:cs="põ$\ˇ"/>
          <w:color w:val="000000"/>
          <w:sz w:val="22"/>
          <w:szCs w:val="22"/>
        </w:rPr>
        <w:t>expérimentales.</w:t>
      </w:r>
    </w:p>
    <w:p w14:paraId="16857881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</w:p>
    <w:p w14:paraId="196CB7CC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  <w:r w:rsidRPr="00AE0105">
        <w:rPr>
          <w:rFonts w:cs="põ$\ˇ"/>
          <w:color w:val="000000"/>
          <w:sz w:val="22"/>
          <w:szCs w:val="22"/>
        </w:rPr>
        <w:t>Le secteur des productions animales est en pleine mutation et devra répondre à des enjeux stratégiques.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La profession agricole devra produire des denrées de qualité qui répondent aux attentes des filières et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des consommateurs européens à des prix compétitifs tout en respectant l’environnement et le bien-être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 xml:space="preserve">animal. Il est demandé aux équipes enseignantes de mettre en </w:t>
      </w:r>
      <w:r w:rsidRPr="00AE0105">
        <w:rPr>
          <w:rFonts w:cs="põ$\ˇ"/>
          <w:color w:val="000000"/>
          <w:sz w:val="22"/>
          <w:szCs w:val="22"/>
        </w:rPr>
        <w:t>œuvre</w:t>
      </w:r>
      <w:r w:rsidRPr="00AE0105">
        <w:rPr>
          <w:rFonts w:cs="põ$\ˇ"/>
          <w:color w:val="000000"/>
          <w:sz w:val="22"/>
          <w:szCs w:val="22"/>
        </w:rPr>
        <w:t xml:space="preserve"> une évaluation par capacité en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prenant en compte la durabilité des systèmes, l’impact et les effets des pratiques agricoles sur le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changement climatique afin d’exercer leur sens critique sur les pratiques agro écologiques. En tant que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 xml:space="preserve">futurs techniciens supérieurs spécialistes des productions </w:t>
      </w:r>
      <w:proofErr w:type="gramStart"/>
      <w:r w:rsidRPr="00AE0105">
        <w:rPr>
          <w:rFonts w:cs="põ$\ˇ"/>
          <w:color w:val="000000"/>
          <w:sz w:val="22"/>
          <w:szCs w:val="22"/>
        </w:rPr>
        <w:t>animales</w:t>
      </w:r>
      <w:proofErr w:type="gramEnd"/>
      <w:r w:rsidRPr="00AE0105">
        <w:rPr>
          <w:rFonts w:cs="põ$\ˇ"/>
          <w:color w:val="000000"/>
          <w:sz w:val="22"/>
          <w:szCs w:val="22"/>
        </w:rPr>
        <w:t>, les étudiants devront développer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pendant leur formation des compétences leur permettant de faire face à ces enjeux. Ce défi pour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l’agriculture française et européenne nécessite une mutualisation des compétences acquises : ainsi les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étudiants pourront mener des études dans des domaines où nos voisins européens sont en avance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comme le bien-être animal et à l’issue de leurs BTS se prévaloir à l’international de compétences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techniques pointues en France comme la génétique sur certaines races.</w:t>
      </w:r>
    </w:p>
    <w:p w14:paraId="7AD3C073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</w:p>
    <w:p w14:paraId="288B0464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  <w:r w:rsidRPr="00AE0105">
        <w:rPr>
          <w:rFonts w:cs="põ$\ˇ"/>
          <w:color w:val="000000"/>
          <w:sz w:val="22"/>
          <w:szCs w:val="22"/>
        </w:rPr>
        <w:t>Grace à ce programme, les étudiants pourront compléter et personnaliser</w:t>
      </w:r>
      <w:r w:rsidRPr="00AE0105">
        <w:rPr>
          <w:rFonts w:cs="põ$\ˇ"/>
          <w:color w:val="000000"/>
          <w:sz w:val="22"/>
          <w:szCs w:val="22"/>
        </w:rPr>
        <w:t xml:space="preserve"> leur parcours de formation par </w:t>
      </w:r>
      <w:r w:rsidRPr="00AE0105">
        <w:rPr>
          <w:rFonts w:cs="põ$\ˇ"/>
          <w:color w:val="000000"/>
          <w:sz w:val="22"/>
          <w:szCs w:val="22"/>
        </w:rPr>
        <w:t>des compétences acquises à l’étranger. A ce titre, les étudiants inscrits dans notre établissement pourront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réaliser une mobilité de stage à l’étranger de deux mois entre la première et la deuxième année de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formation. Ce stage sera diplômant, il permettra la rédaction d’un rapport de stage évalué par un jury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extérieur. A ce titre, les partenaires dans ce projet devront être en capacité de proposer aux étudiants des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thématiques d’étude répondant à la fois aux objectifs de la formation et au projet professionnel de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l’étudiant. Les organisations d’accueil des stagiaires pourront être des entreprises, des organisations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para-agricoles ou des centres de recherche agricole.</w:t>
      </w:r>
    </w:p>
    <w:p w14:paraId="78344777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</w:p>
    <w:p w14:paraId="08A6A9F4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  <w:r w:rsidRPr="00AE0105">
        <w:rPr>
          <w:rFonts w:cs="põ$\ˇ"/>
          <w:color w:val="000000"/>
          <w:sz w:val="22"/>
          <w:szCs w:val="22"/>
        </w:rPr>
        <w:t>Pour le moment le cadre juridique, notamment la non utilisation des ECT</w:t>
      </w:r>
      <w:r w:rsidRPr="00AE0105">
        <w:rPr>
          <w:rFonts w:cs="põ$\ˇ"/>
          <w:color w:val="000000"/>
          <w:sz w:val="22"/>
          <w:szCs w:val="22"/>
        </w:rPr>
        <w:t xml:space="preserve">S, ne permet pas de </w:t>
      </w:r>
      <w:r w:rsidRPr="00AE0105">
        <w:rPr>
          <w:rFonts w:cs="põ$\ˇ"/>
          <w:color w:val="000000"/>
          <w:sz w:val="22"/>
          <w:szCs w:val="22"/>
        </w:rPr>
        <w:lastRenderedPageBreak/>
        <w:t xml:space="preserve">reconnaître, </w:t>
      </w:r>
      <w:r w:rsidRPr="00AE0105">
        <w:rPr>
          <w:rFonts w:cs="põ$\ˇ"/>
          <w:color w:val="000000"/>
          <w:sz w:val="22"/>
          <w:szCs w:val="22"/>
        </w:rPr>
        <w:t>ces mobilités d’études à l’étranger. Lorsque les ECTS seront généralisés dans l’enseignement supérieur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agricole, il pourra être proposé aux étudiants de personnaliser leur parcours de formation en réalisant un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semestre d’étude à l’étranger. Un réseau de partenaires sera développé avec des établissements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d’enseignement supérieur proposant également des formations centrées sur les productions animales et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 xml:space="preserve">pouvant apporter une plus-value au diplôme préparé dans notre établissement. 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Cette mobilité sera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permise sous condition d’une maitrise suffisante de la langue dans laquelle les cours seront dispensés</w:t>
      </w:r>
      <w:r w:rsidRPr="00AE0105">
        <w:rPr>
          <w:rFonts w:cs="põ$\ˇ"/>
          <w:color w:val="000000"/>
          <w:sz w:val="22"/>
          <w:szCs w:val="22"/>
        </w:rPr>
        <w:t>.</w:t>
      </w:r>
    </w:p>
    <w:p w14:paraId="7CD2A3B8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</w:p>
    <w:p w14:paraId="37DFBEE2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  <w:r w:rsidRPr="00AE0105">
        <w:rPr>
          <w:rFonts w:cs="põ$\ˇ"/>
          <w:color w:val="000000"/>
          <w:sz w:val="22"/>
          <w:szCs w:val="22"/>
        </w:rPr>
        <w:t>Dans un souci de modernisation et d’amélioration de la qualité de l’enseignement supé</w:t>
      </w:r>
      <w:r w:rsidRPr="00AE0105">
        <w:rPr>
          <w:rFonts w:cs="põ$\ˇ"/>
          <w:color w:val="000000"/>
          <w:sz w:val="22"/>
          <w:szCs w:val="22"/>
        </w:rPr>
        <w:t xml:space="preserve">rieur dans notre </w:t>
      </w:r>
      <w:r w:rsidRPr="00AE0105">
        <w:rPr>
          <w:rFonts w:cs="põ$\ˇ"/>
          <w:color w:val="000000"/>
          <w:sz w:val="22"/>
          <w:szCs w:val="22"/>
        </w:rPr>
        <w:t>établissement, les personnels intervenants dans la formation supérieure seront invités à participer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activement au programme. Ceci permettra de renforcer la qualité de l’enseignement proposé par un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échange de pratiques pédagogiques mais aussi par l’acquisition de compétences techniques nouvelles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développées par des partenaires européens. Par ailleurs, ces mobilités pourront s’inscrire en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complémentarité de l’implication du personnel de l’établissement dans des réseaux de recherche tels que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la participation à des CASDAR T</w:t>
      </w:r>
      <w:bookmarkStart w:id="0" w:name="_GoBack"/>
      <w:bookmarkEnd w:id="0"/>
      <w:r w:rsidRPr="00AE0105">
        <w:rPr>
          <w:rFonts w:cs="põ$\ˇ"/>
          <w:color w:val="000000"/>
          <w:sz w:val="22"/>
          <w:szCs w:val="22"/>
        </w:rPr>
        <w:t xml:space="preserve">ransition </w:t>
      </w:r>
      <w:proofErr w:type="spellStart"/>
      <w:r w:rsidRPr="00AE0105">
        <w:rPr>
          <w:rFonts w:cs="põ$\ˇ"/>
          <w:color w:val="000000"/>
          <w:sz w:val="22"/>
          <w:szCs w:val="22"/>
        </w:rPr>
        <w:t>agroécologique</w:t>
      </w:r>
      <w:proofErr w:type="spellEnd"/>
      <w:r w:rsidRPr="00AE0105">
        <w:rPr>
          <w:rFonts w:cs="põ$\ˇ"/>
          <w:color w:val="000000"/>
          <w:sz w:val="22"/>
          <w:szCs w:val="22"/>
        </w:rPr>
        <w:t>, des Réseaux</w:t>
      </w:r>
      <w:r w:rsidRPr="00AE0105">
        <w:rPr>
          <w:rFonts w:cs="põ$\ˇ"/>
          <w:color w:val="000000"/>
          <w:sz w:val="22"/>
          <w:szCs w:val="22"/>
        </w:rPr>
        <w:t xml:space="preserve"> Mixtes Technologiques RMT, des </w:t>
      </w:r>
      <w:r w:rsidRPr="00AE0105">
        <w:rPr>
          <w:rFonts w:cs="põ$\ˇ"/>
          <w:color w:val="000000"/>
          <w:sz w:val="22"/>
          <w:szCs w:val="22"/>
        </w:rPr>
        <w:t>projets Enseigner à Produire Autrement régionaux (EPA2.</w:t>
      </w:r>
    </w:p>
    <w:p w14:paraId="1DAAB374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</w:p>
    <w:p w14:paraId="38B32A54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  <w:r w:rsidRPr="00AE0105">
        <w:rPr>
          <w:rFonts w:cs="põ$\ˇ"/>
          <w:color w:val="000000"/>
          <w:sz w:val="22"/>
          <w:szCs w:val="22"/>
        </w:rPr>
        <w:t>Afin de répondre aux objectifs des étudiants et des membres du personnel, l’é</w:t>
      </w:r>
      <w:r w:rsidRPr="00AE0105">
        <w:rPr>
          <w:rFonts w:cs="põ$\ˇ"/>
          <w:color w:val="000000"/>
          <w:sz w:val="22"/>
          <w:szCs w:val="22"/>
        </w:rPr>
        <w:t xml:space="preserve">tablissement souhaite </w:t>
      </w:r>
      <w:r w:rsidRPr="00AE0105">
        <w:rPr>
          <w:rFonts w:cs="põ$\ˇ"/>
          <w:color w:val="000000"/>
          <w:sz w:val="22"/>
          <w:szCs w:val="22"/>
        </w:rPr>
        <w:t>renforcer et développer son réseau de partenaires dans le domaine des productions agricoles. Le lycée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bénéficie d’un réseau d’environ 40 entreprises/lycée professionnel /associations dans 6 pays différents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qui pourront être mobilisés. Ces partenariats devront s’articuler autour des enjeux agricoles actuels :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compétitivité, respect du bien-être animal et de l’environnement, changement climatique, innovation et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qualité des produits agricoles afin de répondre aux attentes des consommateurs et de la société. Un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intérêt particulier sera mis sur l’adéquation entre le projet professionnel de l’étudiant et le domaine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d’excellence du partenaire dans le secteur des productions animales. Les zones géographiques seront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choisies en fonction de leur capacité à répondre aux attentes des étudiants et leur projet professionnel.</w:t>
      </w:r>
    </w:p>
    <w:p w14:paraId="4C6BB367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</w:p>
    <w:p w14:paraId="5ACE5CEB" w14:textId="77777777" w:rsidR="00AE0105" w:rsidRPr="00AE0105" w:rsidRDefault="00AE0105" w:rsidP="00AE0105">
      <w:pPr>
        <w:widowControl w:val="0"/>
        <w:autoSpaceDE w:val="0"/>
        <w:autoSpaceDN w:val="0"/>
        <w:adjustRightInd w:val="0"/>
        <w:rPr>
          <w:rFonts w:cs="põ$\ˇ"/>
          <w:color w:val="000000"/>
          <w:sz w:val="22"/>
          <w:szCs w:val="22"/>
        </w:rPr>
      </w:pPr>
      <w:r w:rsidRPr="00AE0105">
        <w:rPr>
          <w:rFonts w:cs="põ$\ˇ"/>
          <w:color w:val="000000"/>
          <w:sz w:val="22"/>
          <w:szCs w:val="22"/>
        </w:rPr>
        <w:t xml:space="preserve">Les mobilités Erasmus seront proposées aux étudiants en début de cycle lorsqu’ils sont en recherche </w:t>
      </w:r>
      <w:r w:rsidRPr="00AE0105">
        <w:rPr>
          <w:rFonts w:cs="põ$\ˇ"/>
          <w:color w:val="000000"/>
          <w:sz w:val="22"/>
          <w:szCs w:val="22"/>
        </w:rPr>
        <w:t xml:space="preserve">du </w:t>
      </w:r>
      <w:r w:rsidRPr="00AE0105">
        <w:rPr>
          <w:rFonts w:cs="põ$\ˇ"/>
          <w:color w:val="000000"/>
          <w:sz w:val="22"/>
          <w:szCs w:val="22"/>
        </w:rPr>
        <w:t xml:space="preserve">stage principal de leur formation. De même, les Erasmus </w:t>
      </w:r>
      <w:proofErr w:type="spellStart"/>
      <w:r w:rsidRPr="00AE0105">
        <w:rPr>
          <w:rFonts w:cs="põ$\ˇ"/>
          <w:color w:val="000000"/>
          <w:sz w:val="22"/>
          <w:szCs w:val="22"/>
        </w:rPr>
        <w:t>Days</w:t>
      </w:r>
      <w:proofErr w:type="spellEnd"/>
      <w:r w:rsidRPr="00AE0105">
        <w:rPr>
          <w:rFonts w:cs="põ$\ˇ"/>
          <w:color w:val="000000"/>
          <w:sz w:val="22"/>
          <w:szCs w:val="22"/>
        </w:rPr>
        <w:t xml:space="preserve"> organisés en début d’année scolaire sont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un moment d’information et d’échange à destination des étudiants et du personnel. Chaque candidat fera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l’objet d’un accompagnement personnalisé afin de faire émerger un projet personnel cohérent qui vise à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favoriser l’engagement citoyen et à améliorer les compétences linguistiques, techniques afin de mieux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appréhender les transitions sociétales actuelles et l’adaptation au marché du travail. Les principes de non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discrimination, d’inclusion et de transparence doivent prévaloir tout au long du processus de sélection des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candidats pour la mobilité ainsi que pour l’attribution des bourses afférentes. Dans le contexte actuel, les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échanges par visioconférence et le travail collaboratif en ligne seront favorisés notamment avant la</w:t>
      </w:r>
      <w:r w:rsidRPr="00AE0105">
        <w:rPr>
          <w:rFonts w:cs="põ$\ˇ"/>
          <w:color w:val="000000"/>
          <w:sz w:val="22"/>
          <w:szCs w:val="22"/>
        </w:rPr>
        <w:t xml:space="preserve"> </w:t>
      </w:r>
      <w:r w:rsidRPr="00AE0105">
        <w:rPr>
          <w:rFonts w:cs="põ$\ˇ"/>
          <w:color w:val="000000"/>
          <w:sz w:val="22"/>
          <w:szCs w:val="22"/>
        </w:rPr>
        <w:t>période principale de stage.</w:t>
      </w:r>
    </w:p>
    <w:p w14:paraId="39CF8FCB" w14:textId="77777777" w:rsidR="00AE0105" w:rsidRPr="00AE0105" w:rsidRDefault="00AE0105" w:rsidP="00AE0105">
      <w:pPr>
        <w:rPr>
          <w:sz w:val="22"/>
          <w:szCs w:val="22"/>
        </w:rPr>
      </w:pPr>
    </w:p>
    <w:sectPr w:rsidR="00AE0105" w:rsidRPr="00AE0105" w:rsidSect="000435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õ$\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05"/>
    <w:rsid w:val="00043567"/>
    <w:rsid w:val="007A1807"/>
    <w:rsid w:val="00A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5A2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1128</Words>
  <Characters>6208</Characters>
  <Application>Microsoft Macintosh Word</Application>
  <DocSecurity>0</DocSecurity>
  <Lines>51</Lines>
  <Paragraphs>14</Paragraphs>
  <ScaleCrop>false</ScaleCrop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2022-03-03T10:50:00Z</dcterms:created>
  <dcterms:modified xsi:type="dcterms:W3CDTF">2022-03-03T10:58:00Z</dcterms:modified>
</cp:coreProperties>
</file>